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B4" w:rsidRPr="006B5C12" w:rsidRDefault="008A42B4" w:rsidP="001C223A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>Příloha č. 1 Koncesní smlouvy</w:t>
      </w:r>
    </w:p>
    <w:p w:rsidR="008A42B4" w:rsidRPr="006B5C12" w:rsidRDefault="008A42B4" w:rsidP="001C223A">
      <w:pPr>
        <w:jc w:val="both"/>
        <w:rPr>
          <w:rFonts w:ascii="Arial" w:hAnsi="Arial" w:cs="Arial"/>
          <w:b/>
          <w:sz w:val="28"/>
          <w:szCs w:val="28"/>
        </w:rPr>
      </w:pPr>
      <w:r w:rsidRPr="006B5C12">
        <w:rPr>
          <w:rFonts w:ascii="Arial" w:hAnsi="Arial" w:cs="Arial"/>
          <w:b/>
          <w:sz w:val="28"/>
          <w:szCs w:val="28"/>
        </w:rPr>
        <w:t>Definice pojmů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6"/>
        <w:gridCol w:w="7152"/>
      </w:tblGrid>
      <w:tr w:rsidR="0030000A" w:rsidRPr="006B5C12" w:rsidTr="00FC4627">
        <w:tc>
          <w:tcPr>
            <w:tcW w:w="2136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Kanalizace</w:t>
            </w:r>
          </w:p>
        </w:tc>
        <w:tc>
          <w:tcPr>
            <w:tcW w:w="7152" w:type="dxa"/>
          </w:tcPr>
          <w:p w:rsidR="0030000A" w:rsidRPr="0030000A" w:rsidRDefault="007328E9" w:rsidP="00DB10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analizace ve smyslu ustanovení § 2 odst. 2 </w:t>
            </w:r>
            <w:proofErr w:type="spellStart"/>
            <w:r w:rsidR="00202DAA" w:rsidRPr="00202DAA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04ACF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rozsahu</w:t>
            </w:r>
            <w:r w:rsidR="00704ACF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uvedeném v</w:t>
            </w:r>
            <w:r w:rsidR="00833972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přílo</w:t>
            </w:r>
            <w:r w:rsidR="00DB1032">
              <w:rPr>
                <w:rFonts w:ascii="Arial" w:hAnsi="Arial" w:cs="Arial"/>
                <w:sz w:val="22"/>
                <w:szCs w:val="22"/>
              </w:rPr>
              <w:t>ze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.</w:t>
            </w:r>
            <w:r w:rsidR="00833972">
              <w:rPr>
                <w:rFonts w:ascii="Arial" w:hAnsi="Arial" w:cs="Arial"/>
                <w:sz w:val="22"/>
                <w:szCs w:val="22"/>
              </w:rPr>
              <w:t> </w:t>
            </w:r>
            <w:r w:rsidR="00993D69">
              <w:rPr>
                <w:rFonts w:ascii="Arial" w:hAnsi="Arial" w:cs="Arial"/>
                <w:sz w:val="22"/>
                <w:szCs w:val="22"/>
              </w:rPr>
              <w:t>2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202DAA" w:rsidRPr="00202DAA">
              <w:rPr>
                <w:rFonts w:ascii="Arial" w:hAnsi="Arial" w:cs="Arial"/>
                <w:sz w:val="22"/>
                <w:szCs w:val="22"/>
              </w:rPr>
              <w:t>této</w:t>
            </w:r>
            <w:proofErr w:type="gram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Smlouvy</w:t>
            </w:r>
            <w:r w:rsidR="00E54FA5">
              <w:rPr>
                <w:rFonts w:ascii="Arial" w:hAnsi="Arial" w:cs="Arial"/>
                <w:sz w:val="22"/>
                <w:szCs w:val="22"/>
              </w:rPr>
              <w:t xml:space="preserve"> včetně </w:t>
            </w:r>
            <w:r w:rsidR="0080298E">
              <w:rPr>
                <w:rFonts w:ascii="Arial" w:hAnsi="Arial" w:cs="Arial"/>
                <w:sz w:val="22"/>
                <w:szCs w:val="22"/>
              </w:rPr>
              <w:t xml:space="preserve">výčtu </w:t>
            </w:r>
            <w:r w:rsidR="00E54FA5">
              <w:rPr>
                <w:rFonts w:ascii="Arial" w:hAnsi="Arial" w:cs="Arial"/>
                <w:sz w:val="22"/>
                <w:szCs w:val="22"/>
              </w:rPr>
              <w:t>připojovací</w:t>
            </w:r>
            <w:r w:rsidR="00255561">
              <w:rPr>
                <w:rFonts w:ascii="Arial" w:hAnsi="Arial" w:cs="Arial"/>
                <w:sz w:val="22"/>
                <w:szCs w:val="22"/>
              </w:rPr>
              <w:t>c</w:t>
            </w:r>
            <w:r w:rsidR="00E54FA5">
              <w:rPr>
                <w:rFonts w:ascii="Arial" w:hAnsi="Arial" w:cs="Arial"/>
                <w:sz w:val="22"/>
                <w:szCs w:val="22"/>
              </w:rPr>
              <w:t xml:space="preserve">h řadů a přípojek </w:t>
            </w:r>
            <w:r w:rsidR="0010466D">
              <w:rPr>
                <w:rFonts w:ascii="Arial" w:hAnsi="Arial" w:cs="Arial"/>
                <w:sz w:val="22"/>
                <w:szCs w:val="22"/>
              </w:rPr>
              <w:t xml:space="preserve">ve vlastnictví </w:t>
            </w:r>
            <w:r w:rsidR="00E54FA5">
              <w:rPr>
                <w:rFonts w:ascii="Arial" w:hAnsi="Arial" w:cs="Arial"/>
                <w:sz w:val="22"/>
                <w:szCs w:val="22"/>
              </w:rPr>
              <w:t>Vlastník</w:t>
            </w:r>
            <w:r w:rsidR="0010466D">
              <w:rPr>
                <w:rFonts w:ascii="Arial" w:hAnsi="Arial" w:cs="Arial"/>
                <w:sz w:val="22"/>
                <w:szCs w:val="22"/>
              </w:rPr>
              <w:t>a</w:t>
            </w:r>
            <w:r w:rsidR="00704ACF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704ACF">
              <w:rPr>
                <w:rFonts w:ascii="Arial" w:hAnsi="Arial" w:cs="Arial"/>
                <w:sz w:val="22"/>
                <w:szCs w:val="22"/>
              </w:rPr>
              <w:t xml:space="preserve">v tom,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který se stane součástí </w:t>
            </w:r>
            <w:r w:rsidR="00833972">
              <w:rPr>
                <w:rFonts w:ascii="Arial" w:hAnsi="Arial" w:cs="Arial"/>
                <w:sz w:val="22"/>
                <w:szCs w:val="22"/>
              </w:rPr>
              <w:t>pachtu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a provozování v souladu s touto Smlouvou do jejího ukončení. 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Vodovod</w:t>
            </w:r>
          </w:p>
        </w:tc>
        <w:tc>
          <w:tcPr>
            <w:tcW w:w="7152" w:type="dxa"/>
          </w:tcPr>
          <w:p w:rsidR="0030000A" w:rsidRPr="0030000A" w:rsidRDefault="007328E9" w:rsidP="00DB10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odovod ve smyslu ustanovení § 2 odst. 1 </w:t>
            </w:r>
            <w:proofErr w:type="spellStart"/>
            <w:r w:rsidR="00202DAA" w:rsidRPr="00202DAA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211551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rozsahu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uvedeném v </w:t>
            </w:r>
            <w:bookmarkStart w:id="0" w:name="OLE_LINK10"/>
            <w:bookmarkStart w:id="1" w:name="OLE_LINK13"/>
            <w:r w:rsidR="00833972" w:rsidRPr="00202DAA">
              <w:rPr>
                <w:rFonts w:ascii="Arial" w:hAnsi="Arial" w:cs="Arial"/>
                <w:sz w:val="22"/>
                <w:szCs w:val="22"/>
              </w:rPr>
              <w:t>přílo</w:t>
            </w:r>
            <w:r w:rsidR="00DB1032">
              <w:rPr>
                <w:rFonts w:ascii="Arial" w:hAnsi="Arial" w:cs="Arial"/>
                <w:sz w:val="22"/>
                <w:szCs w:val="22"/>
              </w:rPr>
              <w:t>ze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833972" w:rsidRPr="00202DAA">
              <w:rPr>
                <w:rFonts w:ascii="Arial" w:hAnsi="Arial" w:cs="Arial"/>
                <w:sz w:val="22"/>
                <w:szCs w:val="22"/>
              </w:rPr>
              <w:t>.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 2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této Smlouvy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včetně </w:t>
            </w:r>
            <w:r w:rsidR="0080298E">
              <w:rPr>
                <w:rFonts w:ascii="Arial" w:hAnsi="Arial" w:cs="Arial"/>
                <w:sz w:val="22"/>
                <w:szCs w:val="22"/>
              </w:rPr>
              <w:t xml:space="preserve">výčtu </w:t>
            </w:r>
            <w:r w:rsidR="005F09C3">
              <w:rPr>
                <w:rFonts w:ascii="Arial" w:hAnsi="Arial" w:cs="Arial"/>
                <w:sz w:val="22"/>
                <w:szCs w:val="22"/>
              </w:rPr>
              <w:t>připojovací</w:t>
            </w:r>
            <w:r w:rsidR="00F61BAE">
              <w:rPr>
                <w:rFonts w:ascii="Arial" w:hAnsi="Arial" w:cs="Arial"/>
                <w:sz w:val="22"/>
                <w:szCs w:val="22"/>
              </w:rPr>
              <w:t>c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h řadů a přípojek </w:t>
            </w:r>
            <w:r w:rsidR="0010466D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5F09C3">
              <w:rPr>
                <w:rFonts w:ascii="Arial" w:hAnsi="Arial" w:cs="Arial"/>
                <w:sz w:val="22"/>
                <w:szCs w:val="22"/>
              </w:rPr>
              <w:t>vlastn</w:t>
            </w:r>
            <w:r w:rsidR="0010466D">
              <w:rPr>
                <w:rFonts w:ascii="Arial" w:hAnsi="Arial" w:cs="Arial"/>
                <w:sz w:val="22"/>
                <w:szCs w:val="22"/>
              </w:rPr>
              <w:t>ictví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Vlastník</w:t>
            </w:r>
            <w:r w:rsidR="0010466D">
              <w:rPr>
                <w:rFonts w:ascii="Arial" w:hAnsi="Arial" w:cs="Arial"/>
                <w:sz w:val="22"/>
                <w:szCs w:val="22"/>
              </w:rPr>
              <w:t>a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0"/>
            <w:bookmarkEnd w:id="1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211551">
              <w:rPr>
                <w:rFonts w:ascii="Arial" w:hAnsi="Arial" w:cs="Arial"/>
                <w:sz w:val="22"/>
                <w:szCs w:val="22"/>
              </w:rPr>
              <w:t xml:space="preserve">v tom,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který se stane součástí </w:t>
            </w:r>
            <w:r w:rsidR="00833972">
              <w:rPr>
                <w:rFonts w:ascii="Arial" w:hAnsi="Arial" w:cs="Arial"/>
                <w:sz w:val="22"/>
                <w:szCs w:val="22"/>
              </w:rPr>
              <w:t>pachtu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a provozování v souladu s touto Smlouvou do jejího ukončení.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Technické zhodnocení</w:t>
            </w:r>
          </w:p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152" w:type="dxa"/>
          </w:tcPr>
          <w:p w:rsidR="0030000A" w:rsidRPr="006B5C12" w:rsidRDefault="0030000A" w:rsidP="00412481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Výdaje na dokončené nástavby, přístavby a stavební úpravy, rekonstrukce a modernizace Vodohospodářského majetku ve smyslu příslušných ustanovení </w:t>
            </w:r>
            <w:r w:rsidR="00412481">
              <w:rPr>
                <w:rFonts w:ascii="Arial" w:hAnsi="Arial" w:cs="Arial"/>
                <w:sz w:val="22"/>
                <w:szCs w:val="22"/>
              </w:rPr>
              <w:t>z</w:t>
            </w:r>
            <w:r w:rsidR="00412481" w:rsidRPr="006B5C12">
              <w:rPr>
                <w:rFonts w:ascii="Arial" w:hAnsi="Arial" w:cs="Arial"/>
                <w:sz w:val="22"/>
                <w:szCs w:val="22"/>
              </w:rPr>
              <w:t xml:space="preserve">ákona </w:t>
            </w:r>
            <w:r w:rsidRPr="006B5C12">
              <w:rPr>
                <w:rFonts w:ascii="Arial" w:hAnsi="Arial" w:cs="Arial"/>
                <w:sz w:val="22"/>
                <w:szCs w:val="22"/>
              </w:rPr>
              <w:t>o daních z příjmů.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Obnova</w:t>
            </w:r>
          </w:p>
        </w:tc>
        <w:tc>
          <w:tcPr>
            <w:tcW w:w="7152" w:type="dxa"/>
          </w:tcPr>
          <w:p w:rsidR="00396E4F" w:rsidRDefault="00396E4F" w:rsidP="006636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E4F">
              <w:rPr>
                <w:rFonts w:ascii="Arial" w:hAnsi="Arial" w:cs="Arial"/>
                <w:sz w:val="22"/>
                <w:szCs w:val="22"/>
              </w:rPr>
              <w:t xml:space="preserve">Obnovou je výměna části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396E4F">
              <w:rPr>
                <w:rFonts w:ascii="Arial" w:hAnsi="Arial" w:cs="Arial"/>
                <w:sz w:val="22"/>
                <w:szCs w:val="22"/>
              </w:rPr>
              <w:t>odovodu</w:t>
            </w:r>
            <w:r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96E4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396E4F">
              <w:rPr>
                <w:rFonts w:ascii="Arial" w:hAnsi="Arial" w:cs="Arial"/>
                <w:sz w:val="22"/>
                <w:szCs w:val="22"/>
              </w:rPr>
              <w:t xml:space="preserve">analizace, která je inventárně sledovanou částí majetku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396E4F">
              <w:rPr>
                <w:rFonts w:ascii="Arial" w:hAnsi="Arial" w:cs="Arial"/>
                <w:sz w:val="22"/>
                <w:szCs w:val="22"/>
              </w:rPr>
              <w:t>lastníka nebo samostatnou položkou uvedenou ve vybraných údajích majetkové evidence, za účelem prodloužení životnosti stavby a s ní související technologie.</w:t>
            </w:r>
          </w:p>
          <w:p w:rsidR="0030000A" w:rsidRPr="0030000A" w:rsidRDefault="00396E4F" w:rsidP="00612A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Jedná se o realizaci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takových opatření, která odstraňují částečné nebo úplné morální a fyzické opotřebení, čímž se zajistí zachování původních užitných hodnot hmotného i nehmotného majetku. Údaje o obnově budou v Plánu financování Obnovy, jakož i při jejich vykazování, uváděny za agregované skupiny dle majetkové evidence </w:t>
            </w:r>
            <w:r w:rsidR="00612A2B">
              <w:rPr>
                <w:rFonts w:ascii="Arial" w:hAnsi="Arial" w:cs="Arial"/>
                <w:sz w:val="22"/>
                <w:szCs w:val="22"/>
              </w:rPr>
              <w:t xml:space="preserve">ve smyslu § 5 </w:t>
            </w:r>
            <w:proofErr w:type="gramStart"/>
            <w:r w:rsidR="00612A2B">
              <w:rPr>
                <w:rFonts w:ascii="Arial" w:hAnsi="Arial" w:cs="Arial"/>
                <w:sz w:val="22"/>
                <w:szCs w:val="22"/>
              </w:rPr>
              <w:t xml:space="preserve">odst.1 </w:t>
            </w:r>
            <w:proofErr w:type="spellStart"/>
            <w:r w:rsidR="00612A2B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proofErr w:type="gram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. Obnova je realizována ve formě </w:t>
            </w:r>
            <w:r w:rsidR="00663613">
              <w:rPr>
                <w:rFonts w:ascii="Arial" w:hAnsi="Arial" w:cs="Arial"/>
                <w:sz w:val="22"/>
                <w:szCs w:val="22"/>
              </w:rPr>
              <w:t>I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>nvestic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63613">
              <w:rPr>
                <w:rFonts w:ascii="Arial" w:hAnsi="Arial" w:cs="Arial"/>
                <w:sz w:val="22"/>
                <w:szCs w:val="22"/>
              </w:rPr>
              <w:t>O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prav nebo </w:t>
            </w:r>
            <w:r w:rsidR="00663613">
              <w:rPr>
                <w:rFonts w:ascii="Arial" w:hAnsi="Arial" w:cs="Arial"/>
                <w:sz w:val="22"/>
                <w:szCs w:val="22"/>
              </w:rPr>
              <w:t>T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 xml:space="preserve">echnického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zhodnocení a pro účely daňové a účetní je vždy ve vazbě na konkrétní inventární předmět vedený v majetku </w:t>
            </w:r>
            <w:r w:rsidR="00113F62">
              <w:rPr>
                <w:rFonts w:ascii="Arial" w:hAnsi="Arial" w:cs="Arial"/>
                <w:sz w:val="22"/>
                <w:szCs w:val="22"/>
              </w:rPr>
              <w:t>Vlastníka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Oprava</w:t>
            </w:r>
          </w:p>
        </w:tc>
        <w:tc>
          <w:tcPr>
            <w:tcW w:w="7152" w:type="dxa"/>
          </w:tcPr>
          <w:p w:rsidR="0030000A" w:rsidRPr="006B5C12" w:rsidRDefault="00396E4F" w:rsidP="002B76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Činnost, která není Technickým zhodnocením ani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 xml:space="preserve">držbou, kterou se odstraňují účinky částečného fyzického opotřebení nebo poškození Vodohospodářského majetku, za účelem uvedení do předchozího nebo provozuschopného stavu. (Uvedením do provozuschopného stavu se rozumí provedení </w:t>
            </w:r>
            <w:r w:rsidR="002B76FB">
              <w:rPr>
                <w:rFonts w:ascii="Arial" w:hAnsi="Arial" w:cs="Arial"/>
                <w:sz w:val="22"/>
                <w:szCs w:val="22"/>
              </w:rPr>
              <w:t>O</w:t>
            </w:r>
            <w:r w:rsidR="002B76FB" w:rsidRPr="006B5C12">
              <w:rPr>
                <w:rFonts w:ascii="Arial" w:hAnsi="Arial" w:cs="Arial"/>
                <w:sz w:val="22"/>
                <w:szCs w:val="22"/>
              </w:rPr>
              <w:t xml:space="preserve">pravy 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i s použitím jiných než původních materiálů nebo technologií – pokud tím nedojde k Technickému zhodnocení).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1476AA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1476AA">
              <w:rPr>
                <w:rFonts w:ascii="Arial" w:hAnsi="Arial" w:cs="Arial"/>
                <w:b/>
                <w:sz w:val="22"/>
                <w:szCs w:val="22"/>
              </w:rPr>
              <w:t>Investice</w:t>
            </w:r>
          </w:p>
        </w:tc>
        <w:tc>
          <w:tcPr>
            <w:tcW w:w="7152" w:type="dxa"/>
          </w:tcPr>
          <w:p w:rsidR="0030000A" w:rsidRPr="001476AA" w:rsidRDefault="0030000A" w:rsidP="002579DB">
            <w:pPr>
              <w:jc w:val="both"/>
              <w:rPr>
                <w:rFonts w:ascii="Arial" w:hAnsi="Arial" w:cs="Arial"/>
              </w:rPr>
            </w:pPr>
            <w:r w:rsidRPr="001476AA">
              <w:rPr>
                <w:rFonts w:ascii="Arial" w:hAnsi="Arial" w:cs="Arial"/>
                <w:sz w:val="22"/>
                <w:szCs w:val="22"/>
              </w:rPr>
              <w:t xml:space="preserve">Pořízení nových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odovodů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579DB">
              <w:rPr>
                <w:rFonts w:ascii="Arial" w:hAnsi="Arial" w:cs="Arial"/>
                <w:sz w:val="22"/>
                <w:szCs w:val="22"/>
              </w:rPr>
              <w:t>K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analizací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popřípadě jejich částí, dále movitých či nemovitých věcí provozní povahy nebo jinak související s provozem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odovodů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579DB">
              <w:rPr>
                <w:rFonts w:ascii="Arial" w:hAnsi="Arial" w:cs="Arial"/>
                <w:sz w:val="22"/>
                <w:szCs w:val="22"/>
              </w:rPr>
              <w:t>K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>analizací</w:t>
            </w:r>
            <w:r w:rsidR="002976E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CC23DA">
            <w:pPr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Plán preventivní Údržby</w:t>
            </w:r>
          </w:p>
        </w:tc>
        <w:tc>
          <w:tcPr>
            <w:tcW w:w="7152" w:type="dxa"/>
          </w:tcPr>
          <w:p w:rsidR="0030000A" w:rsidRPr="006B5C12" w:rsidRDefault="00551BFE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Soupis opatření preventivní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držby Vodohospodářského majetku zpracovaný v souladu s požadavky provozních řádů a požadavky sledovaných výkonových ukazatelů.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Údržba</w:t>
            </w:r>
          </w:p>
        </w:tc>
        <w:tc>
          <w:tcPr>
            <w:tcW w:w="7152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>Pravidelně opakované činnosti péče o Vodohospodářský majetek, kterými se zpomalí proces jeho fyzického opotřebení a odstraňují se drobné závady bránící řádnému provozu (obnovují se užitné vlastnosti majetku).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Havárie</w:t>
            </w:r>
          </w:p>
        </w:tc>
        <w:tc>
          <w:tcPr>
            <w:tcW w:w="7152" w:type="dxa"/>
          </w:tcPr>
          <w:p w:rsidR="0030000A" w:rsidRPr="0030000A" w:rsidRDefault="00202DAA" w:rsidP="00551B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Jakákoliv neplánovaná událost, která způsobí ztrátu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přičemž dojde k přerušení nebo omezení zásobování pitnou vodou a</w:t>
            </w:r>
            <w:r w:rsidR="002976EE">
              <w:rPr>
                <w:rFonts w:ascii="Arial" w:hAnsi="Arial" w:cs="Arial"/>
                <w:sz w:val="22"/>
                <w:szCs w:val="22"/>
              </w:rPr>
              <w:t>/nebo</w:t>
            </w:r>
            <w:r w:rsidRPr="00202DAA">
              <w:rPr>
                <w:rFonts w:ascii="Arial" w:hAnsi="Arial" w:cs="Arial"/>
                <w:sz w:val="22"/>
                <w:szCs w:val="22"/>
              </w:rPr>
              <w:t xml:space="preserve"> odvádění odpadních vod, ohrožení života, ohrožení zdraví, ohrožení majetku a ohrožení životního prostředí. Jedná se o stav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po kterém je možný pouze omezený, nouzový nebo žádný provoz v postiženém místě a v úsecích navazujících, případně je doprovázený únikem média do podloží nebo ovzduší či do vodoteče s případným následným porušením statiky a životního prostředí.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Porucha</w:t>
            </w:r>
          </w:p>
        </w:tc>
        <w:tc>
          <w:tcPr>
            <w:tcW w:w="7152" w:type="dxa"/>
          </w:tcPr>
          <w:p w:rsidR="0030000A" w:rsidRPr="0030000A" w:rsidRDefault="00202DAA" w:rsidP="00551B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Znamená náhlé, nepředvídatelné a podstatné zhoršení technického stavu či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přičemž tento stav či ztráta funkčnosti není Havárií.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30000A" w:rsidP="006A1EA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lastRenderedPageBreak/>
              <w:t>Liberační událost</w:t>
            </w:r>
          </w:p>
        </w:tc>
        <w:tc>
          <w:tcPr>
            <w:tcW w:w="7152" w:type="dxa"/>
          </w:tcPr>
          <w:p w:rsidR="0030000A" w:rsidRPr="0030000A" w:rsidRDefault="0030000A" w:rsidP="006A1EAB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30000A">
              <w:rPr>
                <w:rFonts w:ascii="Arial" w:hAnsi="Arial" w:cs="Arial"/>
                <w:sz w:val="22"/>
                <w:szCs w:val="22"/>
              </w:rPr>
              <w:t>Znamená jakoukoliv z níže uvedených událostí, avšak pouze v případě, že porušení, událost nebo okolnost nebyly způsobeny Provozovatelem: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znečištění životního prostředí, které nezpůsobil Provozovatel nebo živelní pohroma, pokud se nejedná o událost vyšší moci,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selhání jakéhokoliv poskytovatele veřejných služeb, služeb síťových odvětví nebo selhání dopravy,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náhodné poškození 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F21CD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analizace nebo obslužné komunikace k 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>nebo ke 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Kanalizaci </w:t>
            </w:r>
            <w:r w:rsidR="00A05518">
              <w:rPr>
                <w:rFonts w:ascii="Arial" w:hAnsi="Arial" w:cs="Arial"/>
                <w:sz w:val="22"/>
                <w:szCs w:val="22"/>
              </w:rPr>
              <w:t>třetí osobou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výluka nebo úmyslné zdržování práce, či jiná neshoda v souvislosti s pracovněprávními vztahy uvnitř Provozovatele, pokud se tyto události (včetně stávky) vztahují na celý obor vodovodů a kanalizací,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výskyt archeologických nálezů nebo přítomnost jakýchkoliv kulturních památek na pozemku </w:t>
            </w:r>
            <w:r w:rsidR="00B70C2E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B70C2E">
              <w:rPr>
                <w:rFonts w:ascii="Arial" w:hAnsi="Arial" w:cs="Arial"/>
                <w:sz w:val="22"/>
                <w:szCs w:val="22"/>
              </w:rPr>
              <w:t>Kanalizace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30000A" w:rsidP="00842E42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>Událost</w:t>
            </w:r>
            <w:r w:rsidR="00842E4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0000A">
              <w:rPr>
                <w:rFonts w:ascii="Arial" w:hAnsi="Arial" w:cs="Arial"/>
                <w:b/>
                <w:sz w:val="22"/>
                <w:szCs w:val="22"/>
              </w:rPr>
              <w:t>Vyšší moci</w:t>
            </w:r>
          </w:p>
        </w:tc>
        <w:tc>
          <w:tcPr>
            <w:tcW w:w="7152" w:type="dxa"/>
          </w:tcPr>
          <w:p w:rsidR="006E0C1F" w:rsidRDefault="009628F8" w:rsidP="00A250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namená </w:t>
            </w:r>
            <w:r w:rsidR="008600B8">
              <w:rPr>
                <w:rFonts w:ascii="Arial" w:hAnsi="Arial" w:cs="Arial"/>
                <w:bCs/>
                <w:sz w:val="22"/>
                <w:szCs w:val="22"/>
              </w:rPr>
              <w:t xml:space="preserve">mimořádnou nepředvídatelnou a nepřekonatelnou 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překážku, jež nastala nezávisle na vůli povinné strany a brání jí ve splnění její povinnosti, jestliže nelze rozumně předpokládat, že by povinná strana tuto překážku nebo její následky odvrátila nebo překonala, a dále, že by v době uzavření této Smlouvy tuto překážku předvídala. </w:t>
            </w: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30000A" w:rsidP="00CC23DA">
            <w:pPr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 xml:space="preserve">Plán financování </w:t>
            </w:r>
            <w:r w:rsidR="00E54AFF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E54AFF" w:rsidRPr="0030000A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7152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Cs/>
              </w:rPr>
            </w:pP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Doklad o zajištění financování </w:t>
            </w:r>
            <w:r w:rsidR="00B440E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B440EC" w:rsidRPr="0030000A">
              <w:rPr>
                <w:rFonts w:ascii="Arial" w:hAnsi="Arial" w:cs="Arial"/>
                <w:bCs/>
                <w:sz w:val="22"/>
                <w:szCs w:val="22"/>
              </w:rPr>
              <w:t xml:space="preserve">bnovy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Vodohospodářského majetku, zpracovaný ve smyslu </w:t>
            </w:r>
            <w:proofErr w:type="spellStart"/>
            <w:r w:rsidRPr="0030000A">
              <w:rPr>
                <w:rFonts w:ascii="Arial" w:hAnsi="Arial" w:cs="Arial"/>
                <w:bCs/>
                <w:sz w:val="22"/>
                <w:szCs w:val="22"/>
              </w:rPr>
              <w:t>ZVaK</w:t>
            </w:r>
            <w:proofErr w:type="spellEnd"/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 a zejména přílohy č.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>18 prováděcí vyhlášky k tomuto zákonu.</w:t>
            </w:r>
          </w:p>
          <w:p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Míra opotřebení Vodohospodářského majetku je stanovena jako </w:t>
            </w:r>
            <w:r>
              <w:rPr>
                <w:rFonts w:ascii="Arial" w:hAnsi="Arial" w:cs="Arial"/>
                <w:sz w:val="22"/>
                <w:szCs w:val="22"/>
              </w:rPr>
              <w:t>podíl stáří infrastruktury (skutečné doby užívání) a předpokládané (teoretické) doby životnosti Vodohospodářského majetku dle následujícího vzorce:</w:t>
            </w:r>
          </w:p>
          <w:p w:rsidR="00E70F5D" w:rsidRDefault="00202DAA" w:rsidP="006A1E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0EC">
              <w:rPr>
                <w:rFonts w:ascii="Arial" w:hAnsi="Arial" w:cs="Arial"/>
                <w:i/>
                <w:sz w:val="22"/>
                <w:szCs w:val="22"/>
              </w:rPr>
              <w:t xml:space="preserve">míra opotřebení = 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(výchozí rok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- rok pořízení)/teoretická životnost) x100 (%)</w:t>
            </w:r>
          </w:p>
          <w:p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kde:</w:t>
            </w:r>
          </w:p>
          <w:p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rok……rok, kdy je opotřebení vypočítáváno,</w:t>
            </w:r>
          </w:p>
          <w:p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rok pořízení……rok</w:t>
            </w:r>
            <w:r w:rsidR="00CE2D1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kdy byl Vodohospodářský majetek uveden do provozu,</w:t>
            </w:r>
          </w:p>
          <w:p w:rsidR="0030000A" w:rsidRPr="0030000A" w:rsidRDefault="00CE2D17" w:rsidP="00CE2D17">
            <w:pPr>
              <w:numPr>
                <w:ilvl w:val="0"/>
                <w:numId w:val="8"/>
              </w:numPr>
              <w:tabs>
                <w:tab w:val="clear" w:pos="720"/>
                <w:tab w:val="num" w:pos="349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202DAA">
              <w:rPr>
                <w:rFonts w:ascii="Arial" w:hAnsi="Arial" w:cs="Arial"/>
                <w:sz w:val="22"/>
                <w:szCs w:val="22"/>
              </w:rPr>
              <w:t>eoretická životnost……doba životnosti (předpokládaná) stanovená dle údajů dodavatele a expertních názorů.</w:t>
            </w:r>
          </w:p>
        </w:tc>
      </w:tr>
      <w:tr w:rsidR="00697528" w:rsidRPr="006B5C12" w:rsidTr="00FC4627">
        <w:tc>
          <w:tcPr>
            <w:tcW w:w="2136" w:type="dxa"/>
          </w:tcPr>
          <w:p w:rsidR="00697528" w:rsidRPr="00867D46" w:rsidRDefault="00697528" w:rsidP="00697528">
            <w:pPr>
              <w:keepNext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Monitorovací systém</w:t>
            </w:r>
          </w:p>
        </w:tc>
        <w:tc>
          <w:tcPr>
            <w:tcW w:w="7152" w:type="dxa"/>
          </w:tcPr>
          <w:p w:rsidR="00BF5937" w:rsidRPr="001E51A5" w:rsidRDefault="00BF5937" w:rsidP="00BF5937">
            <w:pPr>
              <w:widowControl w:val="0"/>
              <w:tabs>
                <w:tab w:val="left" w:pos="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Zahrnuje zdroj informací pro Vlastníka o výkonnosti Provozovatele při plnění jeho povinností zejména: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pravidelné písemné zprávy v závazné struktuře, vč. elektronických příloh (roční),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elektronické komunikace v reálném čase (telefonem, SMS zprávou, emailem),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písemné komunikace v listinné podobě většinou pouze po řešení mimořádné situace,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definovaných podkladů ze strany Provozovatele (jak v písemné, tak v elektronické podobě),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provozovaných prostorů a zařízení,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právo Vlastníka vyzývat Provozovatele k jednání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  <w:tab w:val="center" w:pos="4536"/>
                <w:tab w:val="right" w:pos="9072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evidence v elektronické a tištěné podobě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  <w:tab w:val="center" w:pos="4536"/>
                <w:tab w:val="right" w:pos="9072"/>
              </w:tabs>
              <w:spacing w:before="40"/>
              <w:ind w:left="215" w:hanging="21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evidence v prostorách Provozovatele.</w:t>
            </w:r>
          </w:p>
          <w:p w:rsidR="00697528" w:rsidRPr="00867D46" w:rsidRDefault="00697528" w:rsidP="001E51A5">
            <w:pPr>
              <w:keepNext/>
              <w:tabs>
                <w:tab w:val="left" w:pos="214"/>
              </w:tabs>
              <w:spacing w:before="60" w:after="60"/>
              <w:ind w:left="21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0000A" w:rsidRPr="006B5C12" w:rsidTr="00FC4627">
        <w:tc>
          <w:tcPr>
            <w:tcW w:w="2136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>Selhání monitorovacího systému</w:t>
            </w:r>
          </w:p>
        </w:tc>
        <w:tc>
          <w:tcPr>
            <w:tcW w:w="7152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Cs/>
              </w:rPr>
            </w:pP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Případ kdy: 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Provozovatel nezajistil sledování a bezchybné zaznamenání všech dat potřebných k vyhodnocení výkonových ukazatelů uvedených ve Smlouvě a jejích přílohách, tj. data nelze použít pro stanovení </w:t>
            </w: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výkonových ukazatelů;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znemožnil jakýmkoliv způsobem přístup Vlastníka k evidenci dat potřebných k vyhodnocení souladu skutečných výkonových ukazatelů dosažených Provozovatelem s výkonovými ukazateli uvedenými ve Smlouvě, případě jejích přílohách;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chybně vyhodnotil jednotlivé výkonové ukazatele; nebo</w:t>
            </w:r>
          </w:p>
          <w:p w:rsidR="005F5DD9" w:rsidRPr="00396E4F" w:rsidRDefault="00202DAA" w:rsidP="00396E4F">
            <w:pPr>
              <w:numPr>
                <w:ilvl w:val="0"/>
                <w:numId w:val="13"/>
              </w:numPr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chybně vyhodnotil jednotlivé smluvní sankce vztahující se k výkonovým ukazatelům</w:t>
            </w:r>
            <w:r w:rsidR="00577055">
              <w:rPr>
                <w:rFonts w:ascii="Arial" w:hAnsi="Arial" w:cs="Arial"/>
                <w:bCs/>
                <w:sz w:val="22"/>
                <w:szCs w:val="22"/>
              </w:rPr>
              <w:t xml:space="preserve"> či monitoringu</w:t>
            </w:r>
            <w:r w:rsidR="0030000A" w:rsidRPr="0030000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67D46" w:rsidRPr="006B5C12" w:rsidTr="00FC4627">
        <w:tc>
          <w:tcPr>
            <w:tcW w:w="2136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Plán 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7152" w:type="dxa"/>
          </w:tcPr>
          <w:p w:rsidR="00867D46" w:rsidRPr="006B5C12" w:rsidRDefault="00867D46" w:rsidP="00842E42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Soupis plánovaných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akcí 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Obnov</w:t>
            </w:r>
            <w:r w:rsidR="00842E42">
              <w:rPr>
                <w:rFonts w:ascii="Arial" w:hAnsi="Arial" w:cs="Arial"/>
                <w:sz w:val="22"/>
                <w:szCs w:val="22"/>
              </w:rPr>
              <w:t>y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Vodohospodářského majetku v konkrétním kalendářním roce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realizovaných na náklady </w:t>
            </w:r>
            <w:proofErr w:type="gramStart"/>
            <w:r w:rsidR="00DC6082">
              <w:rPr>
                <w:rFonts w:ascii="Arial" w:hAnsi="Arial" w:cs="Arial"/>
                <w:sz w:val="22"/>
                <w:szCs w:val="22"/>
              </w:rPr>
              <w:t>Vlastníka.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6B5C12">
              <w:rPr>
                <w:rFonts w:ascii="Arial" w:hAnsi="Arial" w:cs="Arial"/>
                <w:sz w:val="22"/>
                <w:szCs w:val="22"/>
              </w:rPr>
              <w:t xml:space="preserve"> Plán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bnovy sestavuje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 schvaluje </w:t>
            </w:r>
            <w:r>
              <w:rPr>
                <w:rFonts w:ascii="Arial" w:hAnsi="Arial" w:cs="Arial"/>
                <w:sz w:val="22"/>
                <w:szCs w:val="22"/>
              </w:rPr>
              <w:t>Vlastník</w:t>
            </w:r>
            <w:r w:rsidRPr="006B5C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67D46" w:rsidRPr="006B5C12" w:rsidTr="00FC4627">
        <w:tc>
          <w:tcPr>
            <w:tcW w:w="2136" w:type="dxa"/>
          </w:tcPr>
          <w:p w:rsidR="00867D46" w:rsidRPr="006B5C12" w:rsidRDefault="00867D46" w:rsidP="00CC23DA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Kvalifikovaná změna předpisů</w:t>
            </w:r>
          </w:p>
        </w:tc>
        <w:tc>
          <w:tcPr>
            <w:tcW w:w="7152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závazných předpisů, v důsledku které musí být v době platnosti Koncesní smlouvy učiněny jakékoliv Investice nebo Technické zhodnocení, nebo dochází k nezbytnému navýšení provozních nákladů Provozovatele, se snahou vyhýbat se navýšení těchto nákladů.</w:t>
            </w:r>
          </w:p>
        </w:tc>
        <w:bookmarkStart w:id="2" w:name="_GoBack"/>
        <w:bookmarkEnd w:id="2"/>
      </w:tr>
      <w:tr w:rsidR="00867D46" w:rsidRPr="006B5C12" w:rsidTr="00FC4627">
        <w:tc>
          <w:tcPr>
            <w:tcW w:w="2136" w:type="dxa"/>
          </w:tcPr>
          <w:p w:rsidR="00867D46" w:rsidRPr="006B5C12" w:rsidRDefault="00867D46" w:rsidP="00CC23DA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Obecná změna předpisů</w:t>
            </w:r>
          </w:p>
        </w:tc>
        <w:tc>
          <w:tcPr>
            <w:tcW w:w="7152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Jakákoliv jiná změna závazných předpisů, kromě Kvalifikované změny předpisů.</w:t>
            </w:r>
          </w:p>
        </w:tc>
      </w:tr>
      <w:tr w:rsidR="00867D46" w:rsidTr="00FC4627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867D46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Doba provozování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1F2588" w:rsidP="00551BFE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bdobí, po které je Provozovatel povinen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rovozovat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Vodohospodářský majetek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podle této Smlouvy a obě Smluvní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trany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plnit ostatní povinnosti stanovené Smlouvou týkající se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které začíná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ahájení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končí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>končení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provozování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67D46" w:rsidTr="00FC4627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087B72" w:rsidP="00087B7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</w:rPr>
              <w:t>en</w:t>
            </w:r>
            <w:r w:rsidRPr="00867D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67D46" w:rsidRPr="00867D46">
              <w:rPr>
                <w:rFonts w:ascii="Arial" w:hAnsi="Arial" w:cs="Arial"/>
                <w:b/>
                <w:sz w:val="22"/>
                <w:szCs w:val="22"/>
              </w:rPr>
              <w:t>vypořádání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1E27FE" w:rsidP="00B73887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en, kdy mezi Smluvními </w:t>
            </w:r>
            <w:r w:rsidR="00B73887">
              <w:rPr>
                <w:rFonts w:ascii="Arial" w:hAnsi="Arial" w:cs="Arial"/>
                <w:sz w:val="22"/>
                <w:szCs w:val="22"/>
              </w:rPr>
              <w:t>s</w:t>
            </w:r>
            <w:r w:rsidR="00B73887" w:rsidRPr="00867D46">
              <w:rPr>
                <w:rFonts w:ascii="Arial" w:hAnsi="Arial" w:cs="Arial"/>
                <w:sz w:val="22"/>
                <w:szCs w:val="22"/>
              </w:rPr>
              <w:t xml:space="preserve">tranami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nebudou existovat žádné existující spory či nevypořádaná práva či povinnosti vyplývající z této Smlouvy, nejdříve však 1 (slovy: jeden) rok po dni skončení povinnosti provozování Provozovatelem, nebude-li mezi Smluvními </w:t>
            </w:r>
            <w:r w:rsidR="00B73887">
              <w:rPr>
                <w:rFonts w:ascii="Arial" w:hAnsi="Arial" w:cs="Arial"/>
                <w:sz w:val="22"/>
                <w:szCs w:val="22"/>
              </w:rPr>
              <w:t>s</w:t>
            </w:r>
            <w:r w:rsidR="00B73887" w:rsidRPr="00867D46">
              <w:rPr>
                <w:rFonts w:ascii="Arial" w:hAnsi="Arial" w:cs="Arial"/>
                <w:sz w:val="22"/>
                <w:szCs w:val="22"/>
              </w:rPr>
              <w:t xml:space="preserve">tranami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písemně dohodnuto jinak.</w:t>
            </w:r>
          </w:p>
        </w:tc>
      </w:tr>
      <w:tr w:rsidR="00867D46" w:rsidRPr="00184098" w:rsidTr="00FC4627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867D46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Zavedená odborná praxe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B332C3" w:rsidP="00D17150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oužití standardů, postupů, metod a procedur, které jsou v souladu s</w:t>
            </w:r>
            <w:r w:rsidR="00553307">
              <w:rPr>
                <w:rFonts w:ascii="Arial" w:hAnsi="Arial" w:cs="Arial"/>
                <w:sz w:val="22"/>
                <w:szCs w:val="22"/>
              </w:rPr>
              <w:t>e Z</w:t>
            </w:r>
            <w:r w:rsidR="00D17150">
              <w:rPr>
                <w:rFonts w:ascii="Arial" w:hAnsi="Arial" w:cs="Arial"/>
                <w:sz w:val="22"/>
                <w:szCs w:val="22"/>
              </w:rPr>
              <w:t>ávaznými předpisy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a vynaložení takového stupně dovedností, péče, pečlivosti, opatrnosti a předvídavosti, která by byla běžně a rozumně očekávána od odborně kvalifikované, schopné a zkušené osoby zabývající se příslušnou činností za stejných nebo podobných podmínek, včetně použití obecně rozšířených standardů, postupů, metod a procedur.</w:t>
            </w:r>
          </w:p>
        </w:tc>
      </w:tr>
      <w:tr w:rsidR="002755C7" w:rsidRPr="00184098" w:rsidTr="00FC4627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C7" w:rsidRPr="00867D46" w:rsidRDefault="002755C7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Závazné předpisy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F" w:rsidRPr="005F5DD9" w:rsidRDefault="0027790D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  <w:r w:rsidRPr="005F5DD9">
              <w:rPr>
                <w:rFonts w:ascii="Arial" w:hAnsi="Arial"/>
                <w:sz w:val="22"/>
                <w:szCs w:val="22"/>
              </w:rPr>
              <w:t>znamen</w:t>
            </w:r>
            <w:r w:rsidRPr="005F5DD9">
              <w:rPr>
                <w:rFonts w:ascii="Arial" w:hAnsi="Arial" w:cs="Arial"/>
                <w:sz w:val="22"/>
                <w:szCs w:val="22"/>
              </w:rPr>
              <w:t>á</w:t>
            </w:r>
            <w:r w:rsidRPr="005F5DD9">
              <w:rPr>
                <w:rFonts w:ascii="Arial" w:hAnsi="Arial"/>
                <w:sz w:val="22"/>
                <w:szCs w:val="22"/>
              </w:rPr>
              <w:t>:</w:t>
            </w:r>
          </w:p>
          <w:p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právní předpisy právního řádu České republiky;</w:t>
            </w:r>
          </w:p>
          <w:p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příslušné právně závazné pokyny, rozhodnutí, Povolení, ČSN Normy, metodiky a jiné předpisy, kterými je Vlastník a/nebo Provozovatel vázán za předpokladu, že jsou veřejně dostupné nebo, že jejich existence byla oznámena a obsah byl zpřístupněn druhé Smluvní Straně; a</w:t>
            </w:r>
          </w:p>
          <w:p w:rsidR="006E0C1F" w:rsidRDefault="0027790D">
            <w:pPr>
              <w:pStyle w:val="Odstavecseseznamem"/>
              <w:keepNext/>
              <w:keepLines/>
              <w:numPr>
                <w:ilvl w:val="0"/>
                <w:numId w:val="16"/>
              </w:numPr>
              <w:spacing w:before="120"/>
              <w:ind w:left="349" w:hanging="349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jakýkoliv vynutitelný předpis Evropské Unie vztahující se k předmětu a účelu Smlouvy</w:t>
            </w:r>
            <w:r w:rsidR="002755C7">
              <w:rPr>
                <w:rFonts w:ascii="Helvetica" w:hAnsi="Helvetica" w:cs="Arial"/>
                <w:sz w:val="22"/>
                <w:szCs w:val="22"/>
              </w:rPr>
              <w:t>.</w:t>
            </w:r>
          </w:p>
        </w:tc>
      </w:tr>
      <w:tr w:rsidR="00FC4627" w:rsidTr="00FC4627"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27" w:rsidRDefault="00FC4627" w:rsidP="00FC4627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Vodohospodářský majetek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27" w:rsidRPr="00FC4627" w:rsidRDefault="00FC4627" w:rsidP="00FC4627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  <w:r w:rsidRPr="00FC4627">
              <w:rPr>
                <w:rFonts w:ascii="Arial" w:hAnsi="Arial"/>
                <w:sz w:val="22"/>
                <w:szCs w:val="22"/>
              </w:rPr>
              <w:t>Vodohospodářským majetkem jsou Vodovod a Kanalizace, včetně movitých věcí, pozemků a staveb, provozně, technicky nebo jinak souvisejících s provozováním tohoto Vodovodu a této Kanalizace, vlastněné Vlastníkem a předané Provozovateli do pachtu v době platnosti Koncesní smlouvy a specifikované v její příloze či přílohách.</w:t>
            </w:r>
          </w:p>
          <w:p w:rsidR="00FC4627" w:rsidRDefault="00FC4627" w:rsidP="00FC4627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A42B4" w:rsidRPr="006B5C12" w:rsidRDefault="008A42B4" w:rsidP="00396E4F"/>
    <w:sectPr w:rsidR="008A42B4" w:rsidRPr="006B5C12" w:rsidSect="00FC46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37" w:rsidRDefault="00BF5937">
      <w:r>
        <w:separator/>
      </w:r>
    </w:p>
  </w:endnote>
  <w:endnote w:type="continuationSeparator" w:id="0">
    <w:p w:rsidR="00BF5937" w:rsidRDefault="00BF5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937" w:rsidRDefault="0092602B" w:rsidP="000166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F593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5937" w:rsidRDefault="00BF5937" w:rsidP="0001668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937" w:rsidRPr="00246E3C" w:rsidRDefault="0092602B" w:rsidP="00016688">
    <w:pPr>
      <w:pStyle w:val="Zpat"/>
      <w:framePr w:wrap="around" w:vAnchor="text" w:hAnchor="margin" w:xAlign="right" w:y="1"/>
      <w:rPr>
        <w:rStyle w:val="slostrnky"/>
        <w:rFonts w:ascii="Arial" w:hAnsi="Arial"/>
        <w:sz w:val="20"/>
        <w:szCs w:val="20"/>
      </w:rPr>
    </w:pPr>
    <w:r w:rsidRPr="00246E3C">
      <w:rPr>
        <w:rStyle w:val="slostrnky"/>
        <w:rFonts w:ascii="Arial" w:hAnsi="Arial"/>
        <w:sz w:val="20"/>
        <w:szCs w:val="20"/>
      </w:rPr>
      <w:fldChar w:fldCharType="begin"/>
    </w:r>
    <w:r w:rsidR="00BF5937" w:rsidRPr="00246E3C">
      <w:rPr>
        <w:rStyle w:val="slostrnky"/>
        <w:rFonts w:ascii="Arial" w:hAnsi="Arial"/>
        <w:sz w:val="20"/>
        <w:szCs w:val="20"/>
      </w:rPr>
      <w:instrText xml:space="preserve">PAGE  </w:instrText>
    </w:r>
    <w:r w:rsidRPr="00246E3C">
      <w:rPr>
        <w:rStyle w:val="slostrnky"/>
        <w:rFonts w:ascii="Arial" w:hAnsi="Arial"/>
        <w:sz w:val="20"/>
        <w:szCs w:val="20"/>
      </w:rPr>
      <w:fldChar w:fldCharType="separate"/>
    </w:r>
    <w:r w:rsidR="00FC4627">
      <w:rPr>
        <w:rStyle w:val="slostrnky"/>
        <w:rFonts w:ascii="Arial" w:hAnsi="Arial"/>
        <w:noProof/>
        <w:sz w:val="20"/>
        <w:szCs w:val="20"/>
      </w:rPr>
      <w:t>3</w:t>
    </w:r>
    <w:r w:rsidRPr="00246E3C">
      <w:rPr>
        <w:rStyle w:val="slostrnky"/>
        <w:rFonts w:ascii="Arial" w:hAnsi="Arial"/>
        <w:sz w:val="20"/>
        <w:szCs w:val="20"/>
      </w:rPr>
      <w:fldChar w:fldCharType="end"/>
    </w:r>
  </w:p>
  <w:p w:rsidR="00BF5937" w:rsidRDefault="00BF5937" w:rsidP="00016688">
    <w:pPr>
      <w:pStyle w:val="Zpa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73" w:rsidRDefault="00D14C7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37" w:rsidRDefault="00BF5937">
      <w:r>
        <w:separator/>
      </w:r>
    </w:p>
  </w:footnote>
  <w:footnote w:type="continuationSeparator" w:id="0">
    <w:p w:rsidR="00BF5937" w:rsidRDefault="00BF5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73" w:rsidRDefault="00D14C7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73" w:rsidRPr="00D14C73" w:rsidRDefault="00D14C73" w:rsidP="00D14C73">
    <w:pPr>
      <w:pStyle w:val="Zhlav"/>
      <w:rPr>
        <w:rFonts w:ascii="Arial" w:eastAsia="Calibri" w:hAnsi="Arial" w:cs="Arial"/>
        <w:b/>
        <w:color w:val="808080"/>
        <w:sz w:val="20"/>
        <w:szCs w:val="20"/>
      </w:rPr>
    </w:pPr>
    <w:r w:rsidRPr="00D14C73">
      <w:rPr>
        <w:rFonts w:ascii="Arial" w:eastAsia="Calibri" w:hAnsi="Arial" w:cs="Arial"/>
        <w:b/>
        <w:color w:val="808080"/>
        <w:sz w:val="20"/>
        <w:szCs w:val="20"/>
      </w:rPr>
      <w:t>Provozování vodovodu a kanalizace ve vlastnictví města Frenštát pod Radhoštěm</w:t>
    </w:r>
  </w:p>
  <w:p w:rsidR="00D14C73" w:rsidRDefault="00D14C7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73" w:rsidRDefault="00D14C7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5CA8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843CCF"/>
    <w:multiLevelType w:val="multilevel"/>
    <w:tmpl w:val="2440F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124352A5"/>
    <w:multiLevelType w:val="hybridMultilevel"/>
    <w:tmpl w:val="AE349EFC"/>
    <w:lvl w:ilvl="0" w:tplc="05E8E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A6EA3"/>
    <w:multiLevelType w:val="hybridMultilevel"/>
    <w:tmpl w:val="5950B82A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95A3A"/>
    <w:multiLevelType w:val="multilevel"/>
    <w:tmpl w:val="9D4A991E"/>
    <w:lvl w:ilvl="0">
      <w:start w:val="1"/>
      <w:numFmt w:val="lowerLetter"/>
      <w:pStyle w:val="DefiniceL1"/>
      <w:lvlText w:val="(%1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4ACF3597"/>
    <w:multiLevelType w:val="hybridMultilevel"/>
    <w:tmpl w:val="450656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12C2B"/>
    <w:multiLevelType w:val="hybridMultilevel"/>
    <w:tmpl w:val="5A2CB4C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44A2F"/>
    <w:multiLevelType w:val="hybridMultilevel"/>
    <w:tmpl w:val="1310AA78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 w:numId="13">
    <w:abstractNumId w:val="2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23A"/>
    <w:rsid w:val="0000122B"/>
    <w:rsid w:val="000027DD"/>
    <w:rsid w:val="00016688"/>
    <w:rsid w:val="0001720E"/>
    <w:rsid w:val="00031B9E"/>
    <w:rsid w:val="00035E1C"/>
    <w:rsid w:val="00053CBE"/>
    <w:rsid w:val="00056378"/>
    <w:rsid w:val="0006391E"/>
    <w:rsid w:val="000779CE"/>
    <w:rsid w:val="00087B72"/>
    <w:rsid w:val="0009094E"/>
    <w:rsid w:val="00097A9F"/>
    <w:rsid w:val="000A38EC"/>
    <w:rsid w:val="000B26E3"/>
    <w:rsid w:val="000B2B79"/>
    <w:rsid w:val="000C6327"/>
    <w:rsid w:val="000D534F"/>
    <w:rsid w:val="0010466D"/>
    <w:rsid w:val="00106BE1"/>
    <w:rsid w:val="0011292E"/>
    <w:rsid w:val="00113F62"/>
    <w:rsid w:val="0012554C"/>
    <w:rsid w:val="001476AA"/>
    <w:rsid w:val="00175A07"/>
    <w:rsid w:val="001A238E"/>
    <w:rsid w:val="001A3B77"/>
    <w:rsid w:val="001A535D"/>
    <w:rsid w:val="001A7749"/>
    <w:rsid w:val="001B2BFA"/>
    <w:rsid w:val="001C223A"/>
    <w:rsid w:val="001E27FE"/>
    <w:rsid w:val="001E51A5"/>
    <w:rsid w:val="001E59E6"/>
    <w:rsid w:val="001E654A"/>
    <w:rsid w:val="001E6A70"/>
    <w:rsid w:val="001F2588"/>
    <w:rsid w:val="00202DAA"/>
    <w:rsid w:val="00211551"/>
    <w:rsid w:val="00212188"/>
    <w:rsid w:val="002146DB"/>
    <w:rsid w:val="00243B06"/>
    <w:rsid w:val="00246E3C"/>
    <w:rsid w:val="00255561"/>
    <w:rsid w:val="002579DB"/>
    <w:rsid w:val="002713C0"/>
    <w:rsid w:val="002744E8"/>
    <w:rsid w:val="002755C7"/>
    <w:rsid w:val="0027790D"/>
    <w:rsid w:val="00293393"/>
    <w:rsid w:val="002965B5"/>
    <w:rsid w:val="002976EE"/>
    <w:rsid w:val="002A4C3D"/>
    <w:rsid w:val="002B2E72"/>
    <w:rsid w:val="002B76FB"/>
    <w:rsid w:val="002C18A3"/>
    <w:rsid w:val="002C3ECE"/>
    <w:rsid w:val="002D0470"/>
    <w:rsid w:val="002D59E8"/>
    <w:rsid w:val="0030000A"/>
    <w:rsid w:val="00302877"/>
    <w:rsid w:val="0035527D"/>
    <w:rsid w:val="0035631D"/>
    <w:rsid w:val="003565CB"/>
    <w:rsid w:val="003815C1"/>
    <w:rsid w:val="0039023A"/>
    <w:rsid w:val="003939CF"/>
    <w:rsid w:val="00396E4F"/>
    <w:rsid w:val="0039773B"/>
    <w:rsid w:val="003C010C"/>
    <w:rsid w:val="003C3A04"/>
    <w:rsid w:val="003E5B7D"/>
    <w:rsid w:val="003F7B8D"/>
    <w:rsid w:val="00411251"/>
    <w:rsid w:val="00412481"/>
    <w:rsid w:val="00416D7E"/>
    <w:rsid w:val="00420058"/>
    <w:rsid w:val="00423757"/>
    <w:rsid w:val="00430B1C"/>
    <w:rsid w:val="00446663"/>
    <w:rsid w:val="00481587"/>
    <w:rsid w:val="0048298B"/>
    <w:rsid w:val="004A7A19"/>
    <w:rsid w:val="004B447E"/>
    <w:rsid w:val="004C0602"/>
    <w:rsid w:val="004C5AEF"/>
    <w:rsid w:val="004F6484"/>
    <w:rsid w:val="0050364A"/>
    <w:rsid w:val="00533FF9"/>
    <w:rsid w:val="00551BFE"/>
    <w:rsid w:val="00553307"/>
    <w:rsid w:val="00560DD3"/>
    <w:rsid w:val="00577055"/>
    <w:rsid w:val="00592564"/>
    <w:rsid w:val="005C19B9"/>
    <w:rsid w:val="005D38A1"/>
    <w:rsid w:val="005D4426"/>
    <w:rsid w:val="005E0BDC"/>
    <w:rsid w:val="005E3249"/>
    <w:rsid w:val="005F09C3"/>
    <w:rsid w:val="005F5DD9"/>
    <w:rsid w:val="0060191A"/>
    <w:rsid w:val="00612A2B"/>
    <w:rsid w:val="0061327B"/>
    <w:rsid w:val="00656126"/>
    <w:rsid w:val="00662863"/>
    <w:rsid w:val="00663613"/>
    <w:rsid w:val="006704B2"/>
    <w:rsid w:val="0068078F"/>
    <w:rsid w:val="00687820"/>
    <w:rsid w:val="00695B95"/>
    <w:rsid w:val="00697528"/>
    <w:rsid w:val="006A1EAB"/>
    <w:rsid w:val="006A5A62"/>
    <w:rsid w:val="006B35DF"/>
    <w:rsid w:val="006B5C12"/>
    <w:rsid w:val="006C48C7"/>
    <w:rsid w:val="006D2840"/>
    <w:rsid w:val="006E0C1F"/>
    <w:rsid w:val="006F652A"/>
    <w:rsid w:val="00704ACF"/>
    <w:rsid w:val="00706E99"/>
    <w:rsid w:val="007201B0"/>
    <w:rsid w:val="00726D5A"/>
    <w:rsid w:val="007328E9"/>
    <w:rsid w:val="00750D83"/>
    <w:rsid w:val="00776E6F"/>
    <w:rsid w:val="00777338"/>
    <w:rsid w:val="007923A9"/>
    <w:rsid w:val="007C72D8"/>
    <w:rsid w:val="007D67B0"/>
    <w:rsid w:val="007D6B0B"/>
    <w:rsid w:val="0080298E"/>
    <w:rsid w:val="00826127"/>
    <w:rsid w:val="00833972"/>
    <w:rsid w:val="00835292"/>
    <w:rsid w:val="00837308"/>
    <w:rsid w:val="00842E42"/>
    <w:rsid w:val="0084321D"/>
    <w:rsid w:val="0085190A"/>
    <w:rsid w:val="008600B8"/>
    <w:rsid w:val="00862A02"/>
    <w:rsid w:val="00864A25"/>
    <w:rsid w:val="00867D46"/>
    <w:rsid w:val="008902A8"/>
    <w:rsid w:val="00890917"/>
    <w:rsid w:val="008A42B4"/>
    <w:rsid w:val="0090572C"/>
    <w:rsid w:val="00907306"/>
    <w:rsid w:val="00920A7A"/>
    <w:rsid w:val="0092602B"/>
    <w:rsid w:val="00930A28"/>
    <w:rsid w:val="00930D51"/>
    <w:rsid w:val="0093541C"/>
    <w:rsid w:val="0094547B"/>
    <w:rsid w:val="009539F4"/>
    <w:rsid w:val="009574CC"/>
    <w:rsid w:val="009601E4"/>
    <w:rsid w:val="009628F8"/>
    <w:rsid w:val="00993D69"/>
    <w:rsid w:val="009A1132"/>
    <w:rsid w:val="009B19A0"/>
    <w:rsid w:val="009E1F6D"/>
    <w:rsid w:val="00A02838"/>
    <w:rsid w:val="00A05518"/>
    <w:rsid w:val="00A05F8F"/>
    <w:rsid w:val="00A064E3"/>
    <w:rsid w:val="00A07D71"/>
    <w:rsid w:val="00A2509E"/>
    <w:rsid w:val="00A305E5"/>
    <w:rsid w:val="00A41BAE"/>
    <w:rsid w:val="00A426F7"/>
    <w:rsid w:val="00A43FBB"/>
    <w:rsid w:val="00A522B8"/>
    <w:rsid w:val="00A6070F"/>
    <w:rsid w:val="00A856EC"/>
    <w:rsid w:val="00A95696"/>
    <w:rsid w:val="00A969A8"/>
    <w:rsid w:val="00AC5769"/>
    <w:rsid w:val="00B07D3D"/>
    <w:rsid w:val="00B10E30"/>
    <w:rsid w:val="00B211E5"/>
    <w:rsid w:val="00B332C3"/>
    <w:rsid w:val="00B440EC"/>
    <w:rsid w:val="00B50EEB"/>
    <w:rsid w:val="00B53A83"/>
    <w:rsid w:val="00B57D14"/>
    <w:rsid w:val="00B600AC"/>
    <w:rsid w:val="00B6286F"/>
    <w:rsid w:val="00B70C2E"/>
    <w:rsid w:val="00B73887"/>
    <w:rsid w:val="00B80E84"/>
    <w:rsid w:val="00B9748B"/>
    <w:rsid w:val="00B97B67"/>
    <w:rsid w:val="00BB0D18"/>
    <w:rsid w:val="00BB17E2"/>
    <w:rsid w:val="00BB1CE3"/>
    <w:rsid w:val="00BB2617"/>
    <w:rsid w:val="00BB4AC0"/>
    <w:rsid w:val="00BC02C2"/>
    <w:rsid w:val="00BC7350"/>
    <w:rsid w:val="00BE3CFB"/>
    <w:rsid w:val="00BE4B47"/>
    <w:rsid w:val="00BF1176"/>
    <w:rsid w:val="00BF3FFA"/>
    <w:rsid w:val="00BF5937"/>
    <w:rsid w:val="00C06116"/>
    <w:rsid w:val="00C21F6A"/>
    <w:rsid w:val="00C41CBB"/>
    <w:rsid w:val="00C444F3"/>
    <w:rsid w:val="00C50C16"/>
    <w:rsid w:val="00C52E1D"/>
    <w:rsid w:val="00CB5F05"/>
    <w:rsid w:val="00CC23DA"/>
    <w:rsid w:val="00CE2D17"/>
    <w:rsid w:val="00CE35A7"/>
    <w:rsid w:val="00D13C41"/>
    <w:rsid w:val="00D14C73"/>
    <w:rsid w:val="00D17150"/>
    <w:rsid w:val="00D31D6A"/>
    <w:rsid w:val="00D5503B"/>
    <w:rsid w:val="00D81BEE"/>
    <w:rsid w:val="00DB1032"/>
    <w:rsid w:val="00DC0F2E"/>
    <w:rsid w:val="00DC3546"/>
    <w:rsid w:val="00DC6082"/>
    <w:rsid w:val="00DE752A"/>
    <w:rsid w:val="00DF0D49"/>
    <w:rsid w:val="00E003F6"/>
    <w:rsid w:val="00E13C10"/>
    <w:rsid w:val="00E465FE"/>
    <w:rsid w:val="00E52681"/>
    <w:rsid w:val="00E54AFF"/>
    <w:rsid w:val="00E54FA5"/>
    <w:rsid w:val="00E70F5D"/>
    <w:rsid w:val="00E84B99"/>
    <w:rsid w:val="00EA4D0B"/>
    <w:rsid w:val="00EB12C0"/>
    <w:rsid w:val="00EB65D6"/>
    <w:rsid w:val="00EE4720"/>
    <w:rsid w:val="00EF2B95"/>
    <w:rsid w:val="00EF6898"/>
    <w:rsid w:val="00F01CB2"/>
    <w:rsid w:val="00F16D31"/>
    <w:rsid w:val="00F21CD7"/>
    <w:rsid w:val="00F24576"/>
    <w:rsid w:val="00F275DF"/>
    <w:rsid w:val="00F60D63"/>
    <w:rsid w:val="00F61BAE"/>
    <w:rsid w:val="00F7183B"/>
    <w:rsid w:val="00F76BD7"/>
    <w:rsid w:val="00F77B5F"/>
    <w:rsid w:val="00F9273A"/>
    <w:rsid w:val="00FA4B1F"/>
    <w:rsid w:val="00FC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5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A4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4321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4321D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1E59E6"/>
    <w:rPr>
      <w:rFonts w:cs="Times New Roman"/>
    </w:rPr>
  </w:style>
  <w:style w:type="paragraph" w:styleId="Seznamsodrkami">
    <w:name w:val="List Bullet"/>
    <w:basedOn w:val="Zkladntext"/>
    <w:uiPriority w:val="99"/>
    <w:rsid w:val="002D59E8"/>
    <w:pPr>
      <w:tabs>
        <w:tab w:val="left" w:pos="284"/>
        <w:tab w:val="num" w:pos="720"/>
      </w:tabs>
      <w:spacing w:before="240" w:after="0" w:line="280" w:lineRule="atLeast"/>
      <w:ind w:left="720" w:hanging="720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link w:val="ZkladntextChar"/>
    <w:uiPriority w:val="99"/>
    <w:rsid w:val="002D59E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4321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0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00A"/>
    <w:rPr>
      <w:rFonts w:ascii="Tahoma" w:hAnsi="Tahoma" w:cs="Tahoma"/>
      <w:sz w:val="16"/>
      <w:szCs w:val="16"/>
    </w:rPr>
  </w:style>
  <w:style w:type="character" w:styleId="Znakapoznpodarou">
    <w:name w:val="footnote reference"/>
    <w:basedOn w:val="Standardnpsmoodstavce"/>
    <w:semiHidden/>
    <w:rsid w:val="002755C7"/>
    <w:rPr>
      <w:rFonts w:ascii="Times New Roman" w:hAnsi="Times New Roman"/>
      <w:sz w:val="18"/>
      <w:vertAlign w:val="superscript"/>
      <w:lang w:val="cs-CZ"/>
    </w:rPr>
  </w:style>
  <w:style w:type="paragraph" w:customStyle="1" w:styleId="DefiniceL1">
    <w:name w:val="Definice L1"/>
    <w:basedOn w:val="Normln"/>
    <w:rsid w:val="002755C7"/>
    <w:pPr>
      <w:numPr>
        <w:numId w:val="14"/>
      </w:numPr>
      <w:spacing w:after="120"/>
      <w:jc w:val="both"/>
    </w:pPr>
    <w:rPr>
      <w:sz w:val="20"/>
      <w:szCs w:val="20"/>
    </w:rPr>
  </w:style>
  <w:style w:type="paragraph" w:customStyle="1" w:styleId="Definicetext">
    <w:name w:val="Definice text"/>
    <w:basedOn w:val="Normln"/>
    <w:rsid w:val="002755C7"/>
    <w:pPr>
      <w:spacing w:before="120" w:after="120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755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1C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1C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1CB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1C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1C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1188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Frybova</cp:lastModifiedBy>
  <cp:revision>5</cp:revision>
  <dcterms:created xsi:type="dcterms:W3CDTF">2021-02-03T13:53:00Z</dcterms:created>
  <dcterms:modified xsi:type="dcterms:W3CDTF">2021-06-01T11:19:00Z</dcterms:modified>
</cp:coreProperties>
</file>